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AB" w:rsidRPr="003D62AB" w:rsidRDefault="003D62AB" w:rsidP="003D62AB">
      <w:pPr>
        <w:widowControl/>
        <w:spacing w:line="450" w:lineRule="atLeast"/>
        <w:jc w:val="center"/>
        <w:rPr>
          <w:rFonts w:ascii="微软雅黑" w:eastAsia="微软雅黑" w:hAnsi="微软雅黑" w:cs="宋体"/>
          <w:color w:val="323232"/>
          <w:kern w:val="0"/>
          <w:szCs w:val="21"/>
        </w:rPr>
      </w:pP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3D62AB" w:rsidRPr="003D62AB" w:rsidTr="003D62AB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2AB" w:rsidRPr="003D62AB" w:rsidRDefault="003D62AB" w:rsidP="003D62AB">
            <w:pPr>
              <w:widowControl/>
              <w:jc w:val="left"/>
              <w:rPr>
                <w:rFonts w:ascii="Helvetica" w:eastAsia="宋体" w:hAnsi="Helvetica" w:cs="宋体" w:hint="eastAsia"/>
                <w:kern w:val="0"/>
                <w:szCs w:val="21"/>
              </w:rPr>
            </w:pPr>
            <w:r w:rsidRPr="003D62AB">
              <w:rPr>
                <w:rFonts w:ascii="Helvetica" w:eastAsia="宋体" w:hAnsi="Helvetica" w:cs="宋体"/>
                <w:noProof/>
                <w:kern w:val="0"/>
                <w:szCs w:val="21"/>
              </w:rPr>
              <w:drawing>
                <wp:inline distT="0" distB="0" distL="0" distR="0" wp14:anchorId="46A23744" wp14:editId="42CE5FBE">
                  <wp:extent cx="1143000" cy="1543050"/>
                  <wp:effectExtent l="0" t="0" r="0" b="0"/>
                  <wp:docPr id="1" name="图片 1" descr="http://mri.whu.edu.cn/images/15/12/01/1xdjywp1y2/33g6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ri.whu.edu.cn/images/15/12/01/1xdjywp1y2/33g6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62AB" w:rsidRPr="003D62AB" w:rsidRDefault="003D62AB" w:rsidP="003D62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3D62A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Luojia</w:t>
            </w:r>
            <w:proofErr w:type="spellEnd"/>
            <w:r w:rsidRPr="003D62A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Distinguished Professor, Wuhan University </w:t>
            </w:r>
          </w:p>
          <w:p w:rsidR="003D62AB" w:rsidRPr="003D62AB" w:rsidRDefault="003D62AB" w:rsidP="003D62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2A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Chairman of </w:t>
            </w:r>
            <w:proofErr w:type="spellStart"/>
            <w:r w:rsidRPr="003D62A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  <w:proofErr w:type="spellEnd"/>
            <w:r w:rsidRPr="003D62A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Immunology Department </w:t>
            </w:r>
          </w:p>
          <w:p w:rsidR="003D62AB" w:rsidRPr="003D62AB" w:rsidRDefault="003D62AB" w:rsidP="003D62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2A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Director of Hubei Province Key Laboratory of Allergy and Immunology </w:t>
            </w:r>
          </w:p>
          <w:p w:rsidR="003D62AB" w:rsidRPr="003D62AB" w:rsidRDefault="003D62AB" w:rsidP="003D62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2A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Professor of State Key Laboratory of Virology and Medical Research Institute </w:t>
            </w:r>
          </w:p>
          <w:p w:rsidR="003D62AB" w:rsidRPr="003D62AB" w:rsidRDefault="003D62AB" w:rsidP="003D62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2A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 xml:space="preserve">Tel.: 86-27-68759986 (O); </w:t>
            </w:r>
          </w:p>
          <w:p w:rsidR="003D62AB" w:rsidRPr="003D62AB" w:rsidRDefault="003D62AB" w:rsidP="003D62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2A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 xml:space="preserve">E-mail: zhangxiaolian@whu.edu.cn; </w:t>
            </w:r>
            <w:hyperlink r:id="rId5" w:history="1">
              <w:r w:rsidRPr="003D62AB">
                <w:rPr>
                  <w:rFonts w:ascii="Times New Roman" w:eastAsia="宋体" w:hAnsi="Times New Roman" w:cs="Times New Roman"/>
                  <w:color w:val="6A6A6D"/>
                  <w:kern w:val="0"/>
                  <w:sz w:val="24"/>
                  <w:szCs w:val="20"/>
                  <w:bdr w:val="none" w:sz="0" w:space="0" w:color="auto" w:frame="1"/>
                </w:rPr>
                <w:t>zhangXL65@sina.com</w:t>
              </w:r>
            </w:hyperlink>
            <w:r w:rsidRPr="003D62A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</w:tr>
    </w:tbl>
    <w:p w:rsidR="003D62AB" w:rsidRPr="003D62AB" w:rsidRDefault="003D62AB" w:rsidP="003D62AB">
      <w:pPr>
        <w:widowControl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3D62AB">
        <w:rPr>
          <w:rFonts w:ascii="宋体" w:eastAsia="宋体" w:hAnsi="宋体" w:cs="宋体"/>
          <w:color w:val="5A5A5A"/>
          <w:kern w:val="0"/>
          <w:sz w:val="24"/>
          <w:szCs w:val="24"/>
        </w:rPr>
        <w:t> </w:t>
      </w:r>
    </w:p>
    <w:p w:rsidR="003D62AB" w:rsidRPr="003D62AB" w:rsidRDefault="003D62AB" w:rsidP="003D62AB">
      <w:pPr>
        <w:widowControl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3D62AB">
        <w:rPr>
          <w:rFonts w:ascii="Times New Roman" w:eastAsia="宋体" w:hAnsi="Times New Roman" w:cs="Times New Roman"/>
          <w:b/>
          <w:color w:val="000000"/>
          <w:kern w:val="0"/>
          <w:sz w:val="24"/>
          <w:szCs w:val="20"/>
        </w:rPr>
        <w:t>Xiao-</w:t>
      </w:r>
      <w:proofErr w:type="spellStart"/>
      <w:r w:rsidRPr="003D62AB">
        <w:rPr>
          <w:rFonts w:ascii="Times New Roman" w:eastAsia="宋体" w:hAnsi="Times New Roman" w:cs="Times New Roman"/>
          <w:b/>
          <w:color w:val="000000"/>
          <w:kern w:val="0"/>
          <w:sz w:val="24"/>
          <w:szCs w:val="20"/>
        </w:rPr>
        <w:t>Lian</w:t>
      </w:r>
      <w:proofErr w:type="spellEnd"/>
      <w:r w:rsidRPr="003D62AB">
        <w:rPr>
          <w:rFonts w:ascii="Times New Roman" w:eastAsia="宋体" w:hAnsi="Times New Roman" w:cs="Times New Roman"/>
          <w:b/>
          <w:color w:val="000000"/>
          <w:kern w:val="0"/>
          <w:sz w:val="24"/>
          <w:szCs w:val="20"/>
        </w:rPr>
        <w:t xml:space="preserve"> Zhang, PhD</w:t>
      </w:r>
    </w:p>
    <w:p w:rsidR="003D62AB" w:rsidRPr="003D62AB" w:rsidRDefault="003D62AB" w:rsidP="003D62AB">
      <w:pPr>
        <w:widowControl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3D62AB">
        <w:rPr>
          <w:rFonts w:ascii="宋体" w:eastAsia="宋体" w:hAnsi="宋体" w:cs="宋体"/>
          <w:color w:val="5A5A5A"/>
          <w:kern w:val="0"/>
          <w:sz w:val="24"/>
          <w:szCs w:val="24"/>
        </w:rPr>
        <w:t> </w:t>
      </w:r>
    </w:p>
    <w:p w:rsidR="003D62AB" w:rsidRPr="003D62AB" w:rsidRDefault="003D62AB" w:rsidP="003D62AB">
      <w:pPr>
        <w:widowControl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3D62AB">
        <w:rPr>
          <w:rFonts w:ascii="Times New Roman" w:eastAsia="宋体" w:hAnsi="Times New Roman" w:cs="Times New Roman"/>
          <w:b/>
          <w:color w:val="000000"/>
          <w:kern w:val="0"/>
          <w:sz w:val="24"/>
          <w:szCs w:val="20"/>
        </w:rPr>
        <w:t xml:space="preserve">Research Field: </w:t>
      </w:r>
    </w:p>
    <w:p w:rsidR="003D62AB" w:rsidRPr="003D62AB" w:rsidRDefault="003D62AB" w:rsidP="003D62AB">
      <w:pPr>
        <w:widowControl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Infection and Immunology, </w:t>
      </w:r>
      <w:r w:rsidRPr="003D62A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3D62AB" w:rsidRPr="003D62AB" w:rsidRDefault="003D62AB" w:rsidP="003D62AB">
      <w:pPr>
        <w:widowControl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proofErr w:type="spellStart"/>
      <w:r w:rsidRPr="003D62A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Glycoimmunity</w:t>
      </w:r>
      <w:proofErr w:type="spellEnd"/>
      <w:r w:rsidRPr="003D62A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and tumor Immunology</w:t>
      </w:r>
      <w:bookmarkStart w:id="0" w:name="_GoBack"/>
      <w:bookmarkEnd w:id="0"/>
    </w:p>
    <w:p w:rsidR="003D62AB" w:rsidRPr="003D62AB" w:rsidRDefault="003D62AB" w:rsidP="003D62AB">
      <w:pPr>
        <w:widowControl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3D62AB">
        <w:rPr>
          <w:rFonts w:ascii="宋体" w:eastAsia="宋体" w:hAnsi="宋体" w:cs="宋体"/>
          <w:color w:val="5A5A5A"/>
          <w:kern w:val="0"/>
          <w:sz w:val="24"/>
          <w:szCs w:val="24"/>
        </w:rPr>
        <w:t> </w:t>
      </w:r>
    </w:p>
    <w:p w:rsidR="003D62AB" w:rsidRPr="003D62AB" w:rsidRDefault="003D62AB" w:rsidP="003D62AB">
      <w:pPr>
        <w:widowControl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3D62A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Prof. Xiao-</w:t>
      </w:r>
      <w:proofErr w:type="spellStart"/>
      <w:r w:rsidRPr="003D62A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LianZhang</w:t>
      </w:r>
      <w:proofErr w:type="spellEnd"/>
      <w:r w:rsidRPr="003D62A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has published more than 100 professional research papers. She has applied for 42 patents and 25 patents were authorized. </w:t>
      </w:r>
    </w:p>
    <w:p w:rsidR="003D62AB" w:rsidRPr="003D62AB" w:rsidRDefault="003D62AB" w:rsidP="003D62AB">
      <w:pPr>
        <w:widowControl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3D62AB">
        <w:rPr>
          <w:rFonts w:ascii="宋体" w:eastAsia="宋体" w:hAnsi="宋体" w:cs="宋体"/>
          <w:color w:val="5A5A5A"/>
          <w:kern w:val="0"/>
          <w:sz w:val="24"/>
          <w:szCs w:val="24"/>
        </w:rPr>
        <w:t> </w:t>
      </w:r>
    </w:p>
    <w:p w:rsidR="003D62AB" w:rsidRPr="003D62AB" w:rsidRDefault="003D62AB" w:rsidP="003D62AB">
      <w:pPr>
        <w:widowControl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3D62A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Selected Recent Publications (*: corresponding author)</w:t>
      </w:r>
      <w:r w:rsidRPr="003D62A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3D62AB" w:rsidRPr="003D62AB" w:rsidRDefault="003D62AB" w:rsidP="003D62AB">
      <w:pPr>
        <w:widowControl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3D62AB">
        <w:rPr>
          <w:rFonts w:ascii="宋体" w:eastAsia="宋体" w:hAnsi="宋体" w:cs="宋体"/>
          <w:color w:val="5A5A5A"/>
          <w:kern w:val="0"/>
          <w:sz w:val="24"/>
          <w:szCs w:val="24"/>
        </w:rPr>
        <w:t> </w:t>
      </w:r>
    </w:p>
    <w:p w:rsidR="003D62AB" w:rsidRPr="003D62AB" w:rsidRDefault="003D62AB" w:rsidP="003D62AB">
      <w:pPr>
        <w:widowControl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宋体" w:hAnsi="Times New Roman" w:cs="宋体" w:hint="eastAsia"/>
          <w:b/>
          <w:color w:val="000000" w:themeColor="text1"/>
          <w:kern w:val="0"/>
          <w:sz w:val="24"/>
          <w:szCs w:val="24"/>
        </w:rPr>
        <w:t>代表性论文</w:t>
      </w:r>
      <w:r w:rsidRPr="003D62AB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 xml:space="preserve"> </w:t>
      </w:r>
    </w:p>
    <w:p w:rsidR="003D62AB" w:rsidRPr="003D62AB" w:rsidRDefault="003D62AB" w:rsidP="003D62AB">
      <w:pPr>
        <w:widowControl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 </w:t>
      </w:r>
      <w:r w:rsidRPr="003D62AB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 xml:space="preserve">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1.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 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Luo W, Qu Z,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Xie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Yan, Xiang J, Zhang XL*. (2015) Identification of a novel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immunodominant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antigen Rv2645 from RD13 with potential as a cell-mediated immunity-based TB diagnostic agent.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J Infect.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2015. 71 (5)</w:t>
      </w:r>
      <w:r w:rsidRPr="003D62AB">
        <w:rPr>
          <w:rFonts w:ascii="Times New Roman" w:eastAsia="宋体" w:hAnsi="Times New Roman" w:cs="宋体" w:hint="eastAsia"/>
          <w:color w:val="000000" w:themeColor="text1"/>
          <w:kern w:val="0"/>
          <w:sz w:val="24"/>
          <w:szCs w:val="24"/>
        </w:rPr>
        <w:t>：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534-543.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2.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 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Ren Y, Min Y-Q, Liu M, Chi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Lianli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, Zhao P, Zhang XL*. (2015) N-glycosylation-mutated HCV envelope glycoprotein complex enhances antigen-presenting activity and cellular and neutralizing antibody responses.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Biochim.Biophys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.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Acta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2015, http://dx.doi.org/10.1016/j.bbagen.2015.08.007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lastRenderedPageBreak/>
        <w:t>3.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 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Pan Q, Li Q, Liu S, Ning N, Zhang X, Xu Y, Chang AE,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Wicha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MS. (2015) Targeting Cancer Stem Cells Using Immunologic Approaches. 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Stem Cells.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33(7):2085-92.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4.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 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Wang T, Hong T, Huang Y, Su H, Wu F, Chen Y, Wei L, Huang W, Hua X, Xia Y, Xu J,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Gan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J, Yuan B, Feng Y, Zhang X, Yang CG, Zhou X. (2015) Fluorescein Derivatives as Bifunctional Molecules for the Simultaneous Inhibiting and Labeling of FTO Protein. 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J Am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Chem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Soc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137(43):13736-9.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5.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 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Ding F,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Guo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S,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Xie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M, Luo W, Yuan C, Huang W, Zhou Y, Zhang XL*, Zhou X*. (2015) Diagnostic applicants of gastric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carcinomacell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aptamers in vitro and in vivo.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Talanta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134:30-36.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6.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 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Chen T, Hu Y, Ding Q, Yu J, Wang F, Luo F*, Zhang XL*. (2015) Serum ficolin-2 concentrations are significantly changed in patients with hepatitis B virus infection and liver diseases.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Virol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Sin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30 (4): 249-260.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7.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 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Zhao Y, Ren Y, Zhang X, Zhao P, Tao W,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Zhong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J, Li Q, Zhang XL*. (2014). Ficolin-2 inhibits Hepatitis C Virus infection, whereas apolipoprotein E3 mediates viral immune escape.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J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Immunol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.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193(2):783-</w:t>
      </w:r>
      <w:proofErr w:type="gram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96 ,</w:t>
      </w:r>
      <w:proofErr w:type="gram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cited by F1000Prime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8.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 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Pan Q, Wang Q, Sun X, Xia X, Wu S, Luo F, Zhang XL*. (2014). Aptamer against mannose-capped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lipoarabinomannan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inhibits virulent Mycobacterium tuberculosis infection in mice and rhesus monkeys.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Mol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Ther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.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22(5):940-51.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9.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 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Tang XL, Zhou YX, Wu SM, Pan Q, Xia B, Zhang XL*. CFP10 and ESAT6 aptamers as effective Mycobacterial antigen diagnostic reagents. 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J Infect.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2014 ,</w:t>
      </w:r>
      <w:proofErr w:type="gram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69: 569-580.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lastRenderedPageBreak/>
        <w:t>10.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Wu SM, Ai HW, Zhang DY, Han XQ, Pan Q, Luo FL, Zhang XL*. (2014) miR-141 targets ZEB2 to suppress HCC progression.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Tumour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Biol.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35(10):9993-7.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11.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Ding F, Yuan C, Wu F, Peng S, Tian S, Zhang XL*, Zhou X*.(2014) Diagnosis applicants of new hepatoma carcinoma cell aptamers in vitro. 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Anal. Methods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6: 8110-8114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12.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Luo F, Sun X, Wang Y, Wang Q, Wu Y, Pan Q, Fang C, Zhang XL*. (2013). Ficolin-2 defends against virulent Mycobacteria Tuberculosis infection in vivo, and its insufficiency is associated with infection in humans.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PloS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One,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8 (9): e73859.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13.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Hu Y, Luo F, Fu J, Chen T, Wu S, Zhou Y, Zhang XL*. (2013) </w:t>
      </w:r>
      <w:proofErr w:type="gram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Early</w:t>
      </w:r>
      <w:proofErr w:type="gram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increased ficolin-2 concentrations are associated with severity of liver inflammation and efficacy of anti-viral therapy in chronic hepatitis C patients.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Scand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J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Immunol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77:144-150.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14.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Yilan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Hu,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Fengling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Luo,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Junliang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Fu,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Tielong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Chen,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Shimin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Wu, Yi-Dan Zhou, Xiao-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Lian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Zhang*. (2013) </w:t>
      </w:r>
      <w:proofErr w:type="gram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Early</w:t>
      </w:r>
      <w:proofErr w:type="gram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increased ficolin-2 concentrations are associated with severity of liver inflammation and efficacy of anti-viral therapy in chronic hepatitis C patients.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Scand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J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Immunol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.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77:144-150.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15.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Pan Q, Chen H, Wang F 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Jeza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VT 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Hou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W, Zhao Y, Xiang T, Zhu Y, Endo Y, Fujita T, Zhang XL* (2012). L-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ficolin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binds to glycoproteins HA and NA and inhibits influenza A virus infection both in vitro and in vivo. 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J Innate Immun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4:312-24.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lastRenderedPageBreak/>
        <w:t>16.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Deng M, Feng S, Luo F, Wang S, Sun X, Zhou X*, Zhang XL*. (2012) Visual detection of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rpoB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mutations in rifampin-resistant Mycobacterium tuberculosis using an asymmetrically split peroxidase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DNAzyme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J.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Clin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.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Microbiol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.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50: 3443-3450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17.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Chen HD, Zhou X, Yu G, Zhao YL, Ren Y, Zhou YD, Li Q, Zhang XL* (2012). Knockdown of core 1 beta 1, 3-galactosyltransferase prolongs skin allograft survival with induction of galectin-1 secretion and suppression of CD8+T cells. 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J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Clin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Immunol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.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32:820-836.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18.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Ning N, Pan Q, Zheng F,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Teitz-Tennenbaum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S,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Egenti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M, Yet J, Li M,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Ginestier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C,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Wicha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MS, Moyer JS, Prince ME, Xu Y, Zhang XL, Huang S, Chang AE, Li Q (2012). Cancer stem cell vaccination confers significant antitumor immunity. 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Cancer Res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72(7):1853-64.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19.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Chen F, Zhao Y, Liu M, Li D, Wu H, Chen H, Zhu Y,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Zhong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J, Zhou Y, Qi Z, Zhang XL*. (2010) Functional Selection of Hepatitis C Virus Envelope E2 Binding Peptide Ligand Using Ribosome Display.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Antimicrob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Agents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Chemother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.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54: 3355-3364. </w:t>
      </w:r>
      <w:proofErr w:type="gram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cited</w:t>
      </w:r>
      <w:proofErr w:type="gram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by FACULTYof1000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20.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Zhong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B, Zhang L, Lei C, Li Y, Mao AP, Yang Y, Wang YY, Zhang XL, Shu HB* (2009) .The ubiquitin ligase RNF5 regulates antiviral responses by mediating degradation of the adaptor protein MITA.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Immunity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30(3):397-407.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21.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Ma Y, Chen H, Wang Q, Luo F, Yan J, Zhang XL* (2009). IL-24 protects against Salmonella typhimurium infection by stimulating early neutrophil Th1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lastRenderedPageBreak/>
        <w:t xml:space="preserve">cytokine production that in turn activate CD8+ T cells.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Eur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J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Immunol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.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39:3357-68.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22.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Deng M, Feng S, Luo F, Wang S, Sun X, Zhou X*, Zhang XL*.</w:t>
      </w:r>
      <w:r w:rsidRPr="003D62A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Pr="003D62AB">
        <w:rPr>
          <w:rFonts w:ascii="Times New Roman" w:eastAsia="宋体" w:hAnsi="Times New Roman" w:cs="宋体" w:hint="eastAsia"/>
          <w:color w:val="000000" w:themeColor="text1"/>
          <w:kern w:val="0"/>
          <w:sz w:val="24"/>
          <w:szCs w:val="24"/>
        </w:rPr>
        <w:t>（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2012</w:t>
      </w:r>
      <w:r w:rsidRPr="003D62AB">
        <w:rPr>
          <w:rFonts w:ascii="Times New Roman" w:eastAsia="宋体" w:hAnsi="Times New Roman" w:cs="宋体" w:hint="eastAsia"/>
          <w:color w:val="000000" w:themeColor="text1"/>
          <w:kern w:val="0"/>
          <w:sz w:val="24"/>
          <w:szCs w:val="24"/>
        </w:rPr>
        <w:t>）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Visual detection of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rpoB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mutations in rifampin-resistant Mycobacterium tuberculosis using an asymmetrically split peroxidase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DNAzyme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.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J.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Clin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.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Microbiol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.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2012.50: 3443-3450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23.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Chen F, Hu Y, Li D, Chen H, and Zhang XL*. CS-SELEX generates high-affinity ssDNA aptamers as molecular probes for Hepatitis C Virus envelope glycoprotein E2.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PloS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One,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2009, 4 (12):e8142:1-11.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24.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Li DQ, Li Y, Wu X, Li Q, Yu J, Gen J, Zhang XL* (2008). Knockdown of Mgat5 inhibits breast cancer cell growth with activation of CD4+T cells and macrophages. 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J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Immunol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.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80: 3158-3165. </w:t>
      </w:r>
    </w:p>
    <w:p w:rsidR="003D62AB" w:rsidRPr="003D62AB" w:rsidRDefault="003D62AB" w:rsidP="003D62AB">
      <w:pPr>
        <w:widowControl/>
        <w:spacing w:line="36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25.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Liu M, Chen H, Luo F, Li P, Pan Q, Xia B, Qi Z, Ho WZ, </w:t>
      </w:r>
      <w:r w:rsidRPr="003D62AB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Zhang XL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*. (2007). Deletion of N-glycosylation of hepatitis C virus envelope protein E1 enhances specific cellular and humoral immune responses, </w:t>
      </w:r>
      <w:r w:rsidRPr="003D62AB">
        <w:rPr>
          <w:rFonts w:ascii="Times New Roman" w:eastAsia="宋体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Vaccine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, 25: 6572-6580. </w:t>
      </w:r>
    </w:p>
    <w:p w:rsidR="003D62AB" w:rsidRPr="003D62AB" w:rsidRDefault="003D62AB" w:rsidP="003D62AB">
      <w:pPr>
        <w:widowControl/>
        <w:adjustRightInd w:val="0"/>
        <w:spacing w:line="360" w:lineRule="auto"/>
        <w:ind w:left="420" w:right="567" w:hanging="420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26.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Li PF, Wan Q, Feng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 xml:space="preserve"> 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 xml:space="preserve">Y, Liu M, Wu JG, Chen XW, </w:t>
      </w:r>
      <w:r w:rsidRPr="003D62A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Zhang XL</w:t>
      </w:r>
      <w:r w:rsidRPr="003D62A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vertAlign w:val="superscript"/>
        </w:rPr>
        <w:t>*</w:t>
      </w:r>
      <w:r w:rsidRPr="003D62A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. (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 xml:space="preserve">2007). Engineering of </w:t>
      </w:r>
      <w:r w:rsidRPr="003D62AB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N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 xml:space="preserve">-glycosylation of Hepatitis C Virus Envelope Protein E2 Enhances T cell responses for DNA immunization, </w:t>
      </w:r>
      <w:r w:rsidRPr="003D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Vaccine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 xml:space="preserve">, 25: 1544-1551. </w:t>
      </w:r>
    </w:p>
    <w:p w:rsidR="003D62AB" w:rsidRPr="003D62AB" w:rsidRDefault="003D62AB" w:rsidP="003D62AB">
      <w:pPr>
        <w:widowControl/>
        <w:spacing w:line="36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27.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Luo F, Feng Y, Liu M, Li P, Pan Q,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Tunje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JV, Xia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</w:rPr>
        <w:t xml:space="preserve">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B, Wu J, 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Zhang XL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*. (2007). A type IVB pili operon promoter controlling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nucleocapsid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gene expression of SARS-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CoV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in Salmonella elicits full immune response by intranasal vaccination. </w:t>
      </w:r>
      <w:proofErr w:type="spellStart"/>
      <w:r w:rsidRPr="003D62AB">
        <w:rPr>
          <w:rFonts w:ascii="Times New Roman" w:eastAsia="宋体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Clin</w:t>
      </w:r>
      <w:proofErr w:type="spellEnd"/>
      <w:r w:rsidRPr="003D62AB">
        <w:rPr>
          <w:rFonts w:ascii="Times New Roman" w:eastAsia="宋体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 Vaccine </w:t>
      </w:r>
      <w:proofErr w:type="spellStart"/>
      <w:r w:rsidRPr="003D62AB">
        <w:rPr>
          <w:rFonts w:ascii="Times New Roman" w:eastAsia="宋体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Immunol</w:t>
      </w:r>
      <w:proofErr w:type="spellEnd"/>
      <w:r w:rsidRPr="003D62AB">
        <w:rPr>
          <w:rFonts w:ascii="Times New Roman" w:eastAsia="宋体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,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14: 990-997.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lastRenderedPageBreak/>
        <w:t>28.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Chen F, Zhou J, Luo F, Mohammed AB and 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Zhang XL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*. </w:t>
      </w:r>
      <w:r w:rsidRPr="003D62AB">
        <w:rPr>
          <w:rFonts w:ascii="Times New Roman" w:eastAsia="宋体" w:hAnsi="Times New Roman" w:cs="Times New Roman"/>
          <w:iCs/>
          <w:color w:val="000000" w:themeColor="text1"/>
          <w:kern w:val="0"/>
          <w:sz w:val="24"/>
          <w:szCs w:val="24"/>
        </w:rPr>
        <w:t xml:space="preserve">2007.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Aptamer from whole-bacterium SELEX as new therapeutic reagent against virulent </w:t>
      </w:r>
      <w:r w:rsidRPr="003D62AB">
        <w:rPr>
          <w:rFonts w:ascii="Times New Roman" w:eastAsia="宋体" w:hAnsi="Times New Roman" w:cs="Times New Roman"/>
          <w:i/>
          <w:color w:val="000000" w:themeColor="text1"/>
          <w:kern w:val="0"/>
          <w:sz w:val="24"/>
          <w:szCs w:val="24"/>
        </w:rPr>
        <w:t>Mycobacterium tuberculosis</w:t>
      </w:r>
      <w:r w:rsidRPr="003D62AB">
        <w:rPr>
          <w:rFonts w:ascii="Times New Roman" w:eastAsia="宋体" w:hAnsi="Times New Roman" w:cs="宋体" w:hint="eastAsia"/>
          <w:color w:val="000000" w:themeColor="text1"/>
          <w:kern w:val="0"/>
          <w:sz w:val="24"/>
          <w:szCs w:val="24"/>
        </w:rPr>
        <w:t>，</w:t>
      </w:r>
      <w:proofErr w:type="spellStart"/>
      <w:r w:rsidRPr="003D62AB">
        <w:rPr>
          <w:rFonts w:ascii="Times New Roman" w:eastAsia="宋体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Biochem</w:t>
      </w:r>
      <w:proofErr w:type="spellEnd"/>
      <w:r w:rsidRPr="003D62AB">
        <w:rPr>
          <w:rFonts w:ascii="Times New Roman" w:eastAsia="宋体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3D62AB">
        <w:rPr>
          <w:rFonts w:ascii="Times New Roman" w:eastAsia="宋体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Biophys</w:t>
      </w:r>
      <w:proofErr w:type="spellEnd"/>
      <w:r w:rsidRPr="003D62AB">
        <w:rPr>
          <w:rFonts w:ascii="Times New Roman" w:eastAsia="宋体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 Res </w:t>
      </w:r>
      <w:proofErr w:type="spellStart"/>
      <w:r w:rsidRPr="003D62AB">
        <w:rPr>
          <w:rFonts w:ascii="Times New Roman" w:eastAsia="宋体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</w:rPr>
        <w:t>Commun</w:t>
      </w:r>
      <w:proofErr w:type="spellEnd"/>
      <w:r w:rsidRPr="003D62AB">
        <w:rPr>
          <w:rFonts w:ascii="Times New Roman" w:eastAsia="宋体" w:hAnsi="Times New Roman" w:cs="宋体" w:hint="eastAsia"/>
          <w:color w:val="000000" w:themeColor="text1"/>
          <w:kern w:val="0"/>
          <w:sz w:val="24"/>
          <w:szCs w:val="24"/>
        </w:rPr>
        <w:t>，</w:t>
      </w:r>
      <w:r w:rsidRPr="003D62AB">
        <w:rPr>
          <w:rFonts w:ascii="Times New Roman" w:eastAsia="宋体" w:hAnsi="Times New Roman" w:cs="Times New Roman"/>
          <w:iCs/>
          <w:color w:val="000000" w:themeColor="text1"/>
          <w:kern w:val="0"/>
          <w:sz w:val="24"/>
          <w:szCs w:val="24"/>
        </w:rPr>
        <w:t xml:space="preserve"> 357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:</w:t>
      </w:r>
      <w:r w:rsidRPr="003D62AB">
        <w:rPr>
          <w:rFonts w:ascii="Times New Roman" w:eastAsia="宋体" w:hAnsi="Times New Roman" w:cs="Times New Roman"/>
          <w:iCs/>
          <w:color w:val="000000" w:themeColor="text1"/>
          <w:kern w:val="0"/>
          <w:sz w:val="24"/>
          <w:szCs w:val="24"/>
        </w:rPr>
        <w:t>743-748.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29.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Ye XS, Sun F, Liu M, Li Q, Wang Y, Zhang L-H, Zhang XL*, (2005), Synthetic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Iminosugar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derivatives as new potential Immunosuppressive agents, 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J. Med. Chem.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48: 3688-3691.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30.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Pan Q, Zhang XL*, Wu H-Y, He P-W, Wang F, Zhang M-S, Hu J-M, Xia B, Wu J, 2005, Aptamers that preferentially bind the type IVB pili and inhibit human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monocytic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cell invasion by Salmonella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enterica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serovarTyphi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,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Antimicrob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Agents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Chemother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49 (10): 4052-4060.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31.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宋体" w:hint="eastAsia"/>
          <w:color w:val="000000" w:themeColor="text1"/>
          <w:kern w:val="0"/>
          <w:sz w:val="24"/>
          <w:szCs w:val="24"/>
        </w:rPr>
        <w:t>Ｗ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u H-Y, Zhang XL*, Pan Q, Wu J. (2005), Functional selection of a type IV pili-binding peptide that specifically inhibits Salmonella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Typhi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adhesion to/invasion of human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monocytic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cells. 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Peptides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26(11): 2057-2063.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32.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Zhang XL*, Liu M,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Xie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P, Wan S, Ye J-T, Wu J , Zhou X, (2004)</w:t>
      </w:r>
      <w:r w:rsidRPr="003D62AB">
        <w:rPr>
          <w:rFonts w:ascii="Times New Roman" w:eastAsia="宋体" w:hAnsi="Times New Roman" w:cs="宋体" w:hint="eastAsia"/>
          <w:color w:val="000000" w:themeColor="text1"/>
          <w:kern w:val="0"/>
          <w:sz w:val="24"/>
          <w:szCs w:val="24"/>
        </w:rPr>
        <w:t>，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Specific inhibition effects of N-pentafluorobenzyl-1-deoxynojirimycin on human CD4+ T cells, </w:t>
      </w:r>
      <w:proofErr w:type="spellStart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Bioorg</w:t>
      </w:r>
      <w:proofErr w:type="spellEnd"/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>. Med. Chem. Lett.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14(14): 3789-3792.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33.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Zhang XL,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Tsui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I. S. M., Yip C. M. C., Fung A. W. Y., Wong D. K. H., Dai X-Y, Yang Y-H, Hackett J., and Morris C., (2000). Salmonella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enterica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serovar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Typhi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uses type IVB pili to enter human intestinal epithelial cells,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 Infect. Immun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68 (6): 3067-3073. </w:t>
      </w:r>
    </w:p>
    <w:p w:rsidR="003D62AB" w:rsidRPr="003D62AB" w:rsidRDefault="003D62AB" w:rsidP="003D62AB">
      <w:pPr>
        <w:widowControl/>
        <w:spacing w:line="480" w:lineRule="auto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lastRenderedPageBreak/>
        <w:t>34.</w:t>
      </w:r>
      <w:r w:rsidRPr="003D62AB">
        <w:rPr>
          <w:rFonts w:ascii="Times New Roman" w:eastAsia="Times New Roman" w:hAnsi="Times New Roman" w:cs="Times New Roman"/>
          <w:color w:val="000000" w:themeColor="text1"/>
          <w:kern w:val="0"/>
          <w:sz w:val="14"/>
          <w:szCs w:val="14"/>
        </w:rPr>
        <w:t xml:space="preserve">   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Zhang XL*, Morris C., and Hackett J., 1997. Molecular cloning, nucleotide sequence, and function of a new site-specific recombinase encoded in the major "</w:t>
      </w:r>
      <w:proofErr w:type="gram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pathogenicity island</w:t>
      </w:r>
      <w:proofErr w:type="gram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" of Salmonella </w:t>
      </w:r>
      <w:proofErr w:type="spellStart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Typhi</w:t>
      </w:r>
      <w:proofErr w:type="spellEnd"/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Pr="003D62A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</w:rPr>
        <w:t xml:space="preserve">Gene </w:t>
      </w:r>
      <w:r w:rsidRPr="003D62A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202: 139-146.</w:t>
      </w:r>
      <w:r w:rsidRPr="003D62A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5251AB" w:rsidRPr="003D62AB" w:rsidRDefault="005251AB"/>
    <w:sectPr w:rsidR="005251AB" w:rsidRPr="003D6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AB"/>
    <w:rsid w:val="003D62AB"/>
    <w:rsid w:val="0052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A2239-5AC4-4619-A014-416AF5F6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angXL65@sina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1269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2016-02-02T13:49:00Z</dcterms:created>
  <dcterms:modified xsi:type="dcterms:W3CDTF">2016-02-02T13:51:00Z</dcterms:modified>
</cp:coreProperties>
</file>